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20"/>
      </w:pPr>
      <w:r>
        <w:rPr>
          <w:b/>
          <w:color w:val="1A3C5E"/>
          <w:sz w:val="32"/>
        </w:rPr>
        <w:t>IDP LIMITED — QUARTER-END TDS COMPLIANCE CHECKLIST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Quarter: Q3 FY2025-26 (October–December 2025)  |  Filing Deadline: 31 January 2026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SECTION A — Pre-Quarter-End (by 25 December 2025)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57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#</w:t>
            </w:r>
          </w:p>
        </w:tc>
        <w:tc>
          <w:tcPr>
            <w:tcW w:type="dxa" w:w="5472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Task</w:t>
            </w:r>
          </w:p>
        </w:tc>
        <w:tc>
          <w:tcPr>
            <w:tcW w:type="dxa" w:w="2304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Responsible</w:t>
            </w:r>
          </w:p>
        </w:tc>
        <w:tc>
          <w:tcPr>
            <w:tcW w:type="dxa" w:w="144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Status</w:t>
            </w:r>
          </w:p>
        </w:tc>
      </w:tr>
      <w:tr>
        <w:tc>
          <w:tcPr>
            <w:tcW w:type="dxa" w:w="576"/>
            <w:shd w:fill="F5F7FA" w:val="clear"/>
          </w:tcPr>
          <w:p>
            <w:r/>
            <w:r>
              <w:rPr>
                <w:sz w:val="20"/>
              </w:rPr>
              <w:t>1</w:t>
            </w:r>
          </w:p>
        </w:tc>
        <w:tc>
          <w:tcPr>
            <w:tcW w:type="dxa" w:w="5472"/>
            <w:shd w:fill="F5F7FA" w:val="clear"/>
          </w:tcPr>
          <w:p>
            <w:r/>
            <w:r>
              <w:rPr>
                <w:sz w:val="20"/>
              </w:rPr>
              <w:t>Reconcile TDS liability vs amount deducted in all payment categories</w:t>
            </w:r>
          </w:p>
        </w:tc>
        <w:tc>
          <w:tcPr>
            <w:tcW w:type="dxa" w:w="2304"/>
            <w:shd w:fill="F5F7FA" w:val="clear"/>
          </w:tcPr>
          <w:p>
            <w:r/>
            <w:r>
              <w:rPr>
                <w:sz w:val="20"/>
              </w:rPr>
              <w:t>TDS Executive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</w:r>
          </w:p>
        </w:tc>
      </w:tr>
      <w:tr>
        <w:tc>
          <w:tcPr>
            <w:tcW w:type="dxa" w:w="576"/>
            <w:shd w:fill="FFFFFF" w:val="clear"/>
          </w:tcPr>
          <w:p>
            <w:r/>
            <w:r>
              <w:rPr>
                <w:sz w:val="20"/>
              </w:rPr>
              <w:t>2</w:t>
            </w:r>
          </w:p>
        </w:tc>
        <w:tc>
          <w:tcPr>
            <w:tcW w:type="dxa" w:w="5472"/>
            <w:shd w:fill="FFFFFF" w:val="clear"/>
          </w:tcPr>
          <w:p>
            <w:r/>
            <w:r>
              <w:rPr>
                <w:sz w:val="20"/>
              </w:rPr>
              <w:t>Ensure TDS deducted on all vendor bills &gt;Rs 30,000 (Sec 194C) or threshold</w:t>
            </w:r>
          </w:p>
        </w:tc>
        <w:tc>
          <w:tcPr>
            <w:tcW w:type="dxa" w:w="2304"/>
            <w:shd w:fill="FFFFFF" w:val="clear"/>
          </w:tcPr>
          <w:p>
            <w:r/>
            <w:r>
              <w:rPr>
                <w:sz w:val="20"/>
              </w:rPr>
              <w:t>Accounts Payable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</w:r>
          </w:p>
        </w:tc>
      </w:tr>
      <w:tr>
        <w:tc>
          <w:tcPr>
            <w:tcW w:type="dxa" w:w="576"/>
            <w:shd w:fill="F5F7FA" w:val="clear"/>
          </w:tcPr>
          <w:p>
            <w:r/>
            <w:r>
              <w:rPr>
                <w:sz w:val="20"/>
              </w:rPr>
              <w:t>3</w:t>
            </w:r>
          </w:p>
        </w:tc>
        <w:tc>
          <w:tcPr>
            <w:tcW w:type="dxa" w:w="5472"/>
            <w:shd w:fill="F5F7FA" w:val="clear"/>
          </w:tcPr>
          <w:p>
            <w:r/>
            <w:r>
              <w:rPr>
                <w:sz w:val="20"/>
              </w:rPr>
              <w:t>Verify professional fee payments — TDS @ 10% u/s 194J deducted correctly</w:t>
            </w:r>
          </w:p>
        </w:tc>
        <w:tc>
          <w:tcPr>
            <w:tcW w:type="dxa" w:w="2304"/>
            <w:shd w:fill="F5F7FA" w:val="clear"/>
          </w:tcPr>
          <w:p>
            <w:r/>
            <w:r>
              <w:rPr>
                <w:sz w:val="20"/>
              </w:rPr>
              <w:t>Finance Manager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</w:r>
          </w:p>
        </w:tc>
      </w:tr>
      <w:tr>
        <w:tc>
          <w:tcPr>
            <w:tcW w:type="dxa" w:w="576"/>
            <w:shd w:fill="FFFFFF" w:val="clear"/>
          </w:tcPr>
          <w:p>
            <w:r/>
            <w:r>
              <w:rPr>
                <w:sz w:val="20"/>
              </w:rPr>
              <w:t>4</w:t>
            </w:r>
          </w:p>
        </w:tc>
        <w:tc>
          <w:tcPr>
            <w:tcW w:type="dxa" w:w="5472"/>
            <w:shd w:fill="FFFFFF" w:val="clear"/>
          </w:tcPr>
          <w:p>
            <w:r/>
            <w:r>
              <w:rPr>
                <w:sz w:val="20"/>
              </w:rPr>
              <w:t>Check rent payments — TDS @ 10% u/s 194I (plant) / 194IB (property)</w:t>
            </w:r>
          </w:p>
        </w:tc>
        <w:tc>
          <w:tcPr>
            <w:tcW w:type="dxa" w:w="2304"/>
            <w:shd w:fill="FFFFFF" w:val="clear"/>
          </w:tcPr>
          <w:p>
            <w:r/>
            <w:r>
              <w:rPr>
                <w:sz w:val="20"/>
              </w:rPr>
              <w:t>Admin/Finance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</w:r>
          </w:p>
        </w:tc>
      </w:tr>
      <w:tr>
        <w:tc>
          <w:tcPr>
            <w:tcW w:type="dxa" w:w="576"/>
            <w:shd w:fill="F5F7FA" w:val="clear"/>
          </w:tcPr>
          <w:p>
            <w:r/>
            <w:r>
              <w:rPr>
                <w:sz w:val="20"/>
              </w:rPr>
              <w:t>5</w:t>
            </w:r>
          </w:p>
        </w:tc>
        <w:tc>
          <w:tcPr>
            <w:tcW w:type="dxa" w:w="5472"/>
            <w:shd w:fill="F5F7FA" w:val="clear"/>
          </w:tcPr>
          <w:p>
            <w:r/>
            <w:r>
              <w:rPr>
                <w:sz w:val="20"/>
              </w:rPr>
              <w:t>Confirm salary TDS (Sec 192) aligned with Form 12BB declarations</w:t>
            </w:r>
          </w:p>
        </w:tc>
        <w:tc>
          <w:tcPr>
            <w:tcW w:type="dxa" w:w="2304"/>
            <w:shd w:fill="F5F7FA" w:val="clear"/>
          </w:tcPr>
          <w:p>
            <w:r/>
            <w:r>
              <w:rPr>
                <w:sz w:val="20"/>
              </w:rPr>
              <w:t>Payroll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</w:r>
          </w:p>
        </w:tc>
      </w:tr>
      <w:tr>
        <w:tc>
          <w:tcPr>
            <w:tcW w:type="dxa" w:w="576"/>
            <w:shd w:fill="FFFFFF" w:val="clear"/>
          </w:tcPr>
          <w:p>
            <w:r/>
            <w:r>
              <w:rPr>
                <w:sz w:val="20"/>
              </w:rPr>
              <w:t>6</w:t>
            </w:r>
          </w:p>
        </w:tc>
        <w:tc>
          <w:tcPr>
            <w:tcW w:type="dxa" w:w="5472"/>
            <w:shd w:fill="FFFFFF" w:val="clear"/>
          </w:tcPr>
          <w:p>
            <w:r/>
            <w:r>
              <w:rPr>
                <w:sz w:val="20"/>
              </w:rPr>
              <w:t>Review contractor payments — distinguish labour vs material split</w:t>
            </w:r>
          </w:p>
        </w:tc>
        <w:tc>
          <w:tcPr>
            <w:tcW w:type="dxa" w:w="2304"/>
            <w:shd w:fill="FFFFFF" w:val="clear"/>
          </w:tcPr>
          <w:p>
            <w:r/>
            <w:r>
              <w:rPr>
                <w:sz w:val="20"/>
              </w:rPr>
              <w:t>Procurement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SECTION B — During Quarter-End (26-31 December 2025)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57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#</w:t>
            </w:r>
          </w:p>
        </w:tc>
        <w:tc>
          <w:tcPr>
            <w:tcW w:type="dxa" w:w="5472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Task</w:t>
            </w:r>
          </w:p>
        </w:tc>
        <w:tc>
          <w:tcPr>
            <w:tcW w:type="dxa" w:w="2304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Responsible</w:t>
            </w:r>
          </w:p>
        </w:tc>
        <w:tc>
          <w:tcPr>
            <w:tcW w:type="dxa" w:w="144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Status</w:t>
            </w:r>
          </w:p>
        </w:tc>
      </w:tr>
      <w:tr>
        <w:tc>
          <w:tcPr>
            <w:tcW w:type="dxa" w:w="576"/>
            <w:shd w:fill="F5F7FA" w:val="clear"/>
          </w:tcPr>
          <w:p>
            <w:r/>
            <w:r>
              <w:rPr>
                <w:sz w:val="20"/>
              </w:rPr>
              <w:t>7</w:t>
            </w:r>
          </w:p>
        </w:tc>
        <w:tc>
          <w:tcPr>
            <w:tcW w:type="dxa" w:w="5472"/>
            <w:shd w:fill="F5F7FA" w:val="clear"/>
          </w:tcPr>
          <w:p>
            <w:r/>
            <w:r>
              <w:rPr>
                <w:sz w:val="20"/>
              </w:rPr>
              <w:t>Deposit Q3 TDS to government by 7 January 2026 (salary) / 30 Dec for March</w:t>
            </w:r>
          </w:p>
        </w:tc>
        <w:tc>
          <w:tcPr>
            <w:tcW w:type="dxa" w:w="2304"/>
            <w:shd w:fill="F5F7FA" w:val="clear"/>
          </w:tcPr>
          <w:p>
            <w:r/>
            <w:r>
              <w:rPr>
                <w:sz w:val="20"/>
              </w:rPr>
              <w:t>TDS Executive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</w:r>
          </w:p>
        </w:tc>
      </w:tr>
      <w:tr>
        <w:tc>
          <w:tcPr>
            <w:tcW w:type="dxa" w:w="576"/>
            <w:shd w:fill="FFFFFF" w:val="clear"/>
          </w:tcPr>
          <w:p>
            <w:r/>
            <w:r>
              <w:rPr>
                <w:sz w:val="20"/>
              </w:rPr>
              <w:t>8</w:t>
            </w:r>
          </w:p>
        </w:tc>
        <w:tc>
          <w:tcPr>
            <w:tcW w:type="dxa" w:w="5472"/>
            <w:shd w:fill="FFFFFF" w:val="clear"/>
          </w:tcPr>
          <w:p>
            <w:r/>
            <w:r>
              <w:rPr>
                <w:sz w:val="20"/>
              </w:rPr>
              <w:t>Prepare challan for each TDS category — verify BSR code and date</w:t>
            </w:r>
          </w:p>
        </w:tc>
        <w:tc>
          <w:tcPr>
            <w:tcW w:type="dxa" w:w="2304"/>
            <w:shd w:fill="FFFFFF" w:val="clear"/>
          </w:tcPr>
          <w:p>
            <w:r/>
            <w:r>
              <w:rPr>
                <w:sz w:val="20"/>
              </w:rPr>
              <w:t>TDS Executive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</w:r>
          </w:p>
        </w:tc>
      </w:tr>
      <w:tr>
        <w:tc>
          <w:tcPr>
            <w:tcW w:type="dxa" w:w="576"/>
            <w:shd w:fill="F5F7FA" w:val="clear"/>
          </w:tcPr>
          <w:p>
            <w:r/>
            <w:r>
              <w:rPr>
                <w:sz w:val="20"/>
              </w:rPr>
              <w:t>9</w:t>
            </w:r>
          </w:p>
        </w:tc>
        <w:tc>
          <w:tcPr>
            <w:tcW w:type="dxa" w:w="5472"/>
            <w:shd w:fill="F5F7FA" w:val="clear"/>
          </w:tcPr>
          <w:p>
            <w:r/>
            <w:r>
              <w:rPr>
                <w:sz w:val="20"/>
              </w:rPr>
              <w:t>Download OLTAS Challan receipts and file in TDS folder</w:t>
            </w:r>
          </w:p>
        </w:tc>
        <w:tc>
          <w:tcPr>
            <w:tcW w:type="dxa" w:w="2304"/>
            <w:shd w:fill="F5F7FA" w:val="clear"/>
          </w:tcPr>
          <w:p>
            <w:r/>
            <w:r>
              <w:rPr>
                <w:sz w:val="20"/>
              </w:rPr>
              <w:t>Finance Manager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</w:r>
          </w:p>
        </w:tc>
      </w:tr>
      <w:tr>
        <w:tc>
          <w:tcPr>
            <w:tcW w:type="dxa" w:w="576"/>
            <w:shd w:fill="FFFFFF" w:val="clear"/>
          </w:tcPr>
          <w:p>
            <w:r/>
            <w:r>
              <w:rPr>
                <w:sz w:val="20"/>
              </w:rPr>
              <w:t>10</w:t>
            </w:r>
          </w:p>
        </w:tc>
        <w:tc>
          <w:tcPr>
            <w:tcW w:type="dxa" w:w="5472"/>
            <w:shd w:fill="FFFFFF" w:val="clear"/>
          </w:tcPr>
          <w:p>
            <w:r/>
            <w:r>
              <w:rPr>
                <w:sz w:val="20"/>
              </w:rPr>
              <w:t>Tally TDS credit in 26AS for vendor TDS (if applicable)</w:t>
            </w:r>
          </w:p>
        </w:tc>
        <w:tc>
          <w:tcPr>
            <w:tcW w:type="dxa" w:w="2304"/>
            <w:shd w:fill="FFFFFF" w:val="clear"/>
          </w:tcPr>
          <w:p>
            <w:r/>
            <w:r>
              <w:rPr>
                <w:sz w:val="20"/>
              </w:rPr>
              <w:t>Accounts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SECTION C — Post-Quarter-End (January 2026)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57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#</w:t>
            </w:r>
          </w:p>
        </w:tc>
        <w:tc>
          <w:tcPr>
            <w:tcW w:type="dxa" w:w="5472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Task</w:t>
            </w:r>
          </w:p>
        </w:tc>
        <w:tc>
          <w:tcPr>
            <w:tcW w:type="dxa" w:w="2304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Responsible</w:t>
            </w:r>
          </w:p>
        </w:tc>
        <w:tc>
          <w:tcPr>
            <w:tcW w:type="dxa" w:w="144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Status</w:t>
            </w:r>
          </w:p>
        </w:tc>
      </w:tr>
      <w:tr>
        <w:tc>
          <w:tcPr>
            <w:tcW w:type="dxa" w:w="576"/>
            <w:shd w:fill="F5F7FA" w:val="clear"/>
          </w:tcPr>
          <w:p>
            <w:r/>
            <w:r>
              <w:rPr>
                <w:sz w:val="20"/>
              </w:rPr>
              <w:t>11</w:t>
            </w:r>
          </w:p>
        </w:tc>
        <w:tc>
          <w:tcPr>
            <w:tcW w:type="dxa" w:w="5472"/>
            <w:shd w:fill="F5F7FA" w:val="clear"/>
          </w:tcPr>
          <w:p>
            <w:r/>
            <w:r>
              <w:rPr>
                <w:sz w:val="20"/>
              </w:rPr>
              <w:t>File TDS Return — Form 24Q (salary), Form 26Q (non-salary) by 31 Jan 2026</w:t>
            </w:r>
          </w:p>
        </w:tc>
        <w:tc>
          <w:tcPr>
            <w:tcW w:type="dxa" w:w="2304"/>
            <w:shd w:fill="F5F7FA" w:val="clear"/>
          </w:tcPr>
          <w:p>
            <w:r/>
            <w:r>
              <w:rPr>
                <w:sz w:val="20"/>
              </w:rPr>
              <w:t>TDS Executive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</w:r>
          </w:p>
        </w:tc>
      </w:tr>
      <w:tr>
        <w:tc>
          <w:tcPr>
            <w:tcW w:type="dxa" w:w="576"/>
            <w:shd w:fill="FFFFFF" w:val="clear"/>
          </w:tcPr>
          <w:p>
            <w:r/>
            <w:r>
              <w:rPr>
                <w:sz w:val="20"/>
              </w:rPr>
              <w:t>12</w:t>
            </w:r>
          </w:p>
        </w:tc>
        <w:tc>
          <w:tcPr>
            <w:tcW w:type="dxa" w:w="5472"/>
            <w:shd w:fill="FFFFFF" w:val="clear"/>
          </w:tcPr>
          <w:p>
            <w:r/>
            <w:r>
              <w:rPr>
                <w:sz w:val="20"/>
              </w:rPr>
              <w:t>Download Form 16A from TRACES for all vendor deductees</w:t>
            </w:r>
          </w:p>
        </w:tc>
        <w:tc>
          <w:tcPr>
            <w:tcW w:type="dxa" w:w="2304"/>
            <w:shd w:fill="FFFFFF" w:val="clear"/>
          </w:tcPr>
          <w:p>
            <w:r/>
            <w:r>
              <w:rPr>
                <w:sz w:val="20"/>
              </w:rPr>
              <w:t>Finance Manager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</w:r>
          </w:p>
        </w:tc>
      </w:tr>
      <w:tr>
        <w:tc>
          <w:tcPr>
            <w:tcW w:type="dxa" w:w="576"/>
            <w:shd w:fill="F5F7FA" w:val="clear"/>
          </w:tcPr>
          <w:p>
            <w:r/>
            <w:r>
              <w:rPr>
                <w:sz w:val="20"/>
              </w:rPr>
              <w:t>13</w:t>
            </w:r>
          </w:p>
        </w:tc>
        <w:tc>
          <w:tcPr>
            <w:tcW w:type="dxa" w:w="5472"/>
            <w:shd w:fill="F5F7FA" w:val="clear"/>
          </w:tcPr>
          <w:p>
            <w:r/>
            <w:r>
              <w:rPr>
                <w:sz w:val="20"/>
              </w:rPr>
              <w:t>Issue Form 16A to vendors within 15 days of filing (by 15 Feb 2026)</w:t>
            </w:r>
          </w:p>
        </w:tc>
        <w:tc>
          <w:tcPr>
            <w:tcW w:type="dxa" w:w="2304"/>
            <w:shd w:fill="F5F7FA" w:val="clear"/>
          </w:tcPr>
          <w:p>
            <w:r/>
            <w:r>
              <w:rPr>
                <w:sz w:val="20"/>
              </w:rPr>
              <w:t>TDS Executive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</w:r>
          </w:p>
        </w:tc>
      </w:tr>
      <w:tr>
        <w:tc>
          <w:tcPr>
            <w:tcW w:type="dxa" w:w="576"/>
            <w:shd w:fill="FFFFFF" w:val="clear"/>
          </w:tcPr>
          <w:p>
            <w:r/>
            <w:r>
              <w:rPr>
                <w:sz w:val="20"/>
              </w:rPr>
              <w:t>14</w:t>
            </w:r>
          </w:p>
        </w:tc>
        <w:tc>
          <w:tcPr>
            <w:tcW w:type="dxa" w:w="5472"/>
            <w:shd w:fill="FFFFFF" w:val="clear"/>
          </w:tcPr>
          <w:p>
            <w:r/>
            <w:r>
              <w:rPr>
                <w:sz w:val="20"/>
              </w:rPr>
              <w:t>Reconcile 26AS with books — flag any credit mismatch</w:t>
            </w:r>
          </w:p>
        </w:tc>
        <w:tc>
          <w:tcPr>
            <w:tcW w:type="dxa" w:w="2304"/>
            <w:shd w:fill="FFFFFF" w:val="clear"/>
          </w:tcPr>
          <w:p>
            <w:r/>
            <w:r>
              <w:rPr>
                <w:sz w:val="20"/>
              </w:rPr>
              <w:t>Accounts Manager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</w:r>
          </w:p>
        </w:tc>
      </w:tr>
      <w:tr>
        <w:tc>
          <w:tcPr>
            <w:tcW w:type="dxa" w:w="576"/>
            <w:shd w:fill="F5F7FA" w:val="clear"/>
          </w:tcPr>
          <w:p>
            <w:r/>
            <w:r>
              <w:rPr>
                <w:sz w:val="20"/>
              </w:rPr>
              <w:t>15</w:t>
            </w:r>
          </w:p>
        </w:tc>
        <w:tc>
          <w:tcPr>
            <w:tcW w:type="dxa" w:w="5472"/>
            <w:shd w:fill="F5F7FA" w:val="clear"/>
          </w:tcPr>
          <w:p>
            <w:r/>
            <w:r>
              <w:rPr>
                <w:sz w:val="20"/>
              </w:rPr>
              <w:t>File correction return if any short deduction or challan error found</w:t>
            </w:r>
          </w:p>
        </w:tc>
        <w:tc>
          <w:tcPr>
            <w:tcW w:type="dxa" w:w="2304"/>
            <w:shd w:fill="F5F7FA" w:val="clear"/>
          </w:tcPr>
          <w:p>
            <w:r/>
            <w:r>
              <w:rPr>
                <w:sz w:val="20"/>
              </w:rPr>
              <w:t>TDS Executive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Common Errors to Avoid</w:t>
      </w:r>
    </w:p>
    <w:p>
      <w:pPr>
        <w:pStyle w:val="ListBullet"/>
        <w:spacing w:after="60"/>
      </w:pPr>
      <w:r>
        <w:rPr>
          <w:b w:val="0"/>
          <w:sz w:val="22"/>
        </w:rPr>
        <w:t>Deducting TDS at wrong rate (check PAN validity — higher rate applies for invalid PAN)</w:t>
      </w:r>
    </w:p>
    <w:p>
      <w:pPr>
        <w:pStyle w:val="ListBullet"/>
        <w:spacing w:after="60"/>
      </w:pPr>
      <w:r>
        <w:rPr>
          <w:b w:val="0"/>
          <w:sz w:val="22"/>
        </w:rPr>
        <w:t>Missing new vendor payments — set up auto-TDS rule in ERP for new vendors</w:t>
      </w:r>
    </w:p>
    <w:p>
      <w:pPr>
        <w:pStyle w:val="ListBullet"/>
        <w:spacing w:after="60"/>
      </w:pPr>
      <w:r>
        <w:rPr>
          <w:b w:val="0"/>
          <w:sz w:val="22"/>
        </w:rPr>
        <w:t>Challan deposit after due date — interest @ 1.5% per month u/s 201(1A)</w:t>
      </w:r>
    </w:p>
    <w:p>
      <w:pPr>
        <w:pStyle w:val="ListBullet"/>
        <w:spacing w:after="60"/>
      </w:pPr>
      <w:r>
        <w:rPr>
          <w:b w:val="0"/>
          <w:sz w:val="22"/>
        </w:rPr>
        <w:t>Late filing penalty u/s 234E — Rs 200/- per day of delay</w:t>
      </w:r>
    </w:p>
    <w:sectPr w:rsidR="00FC693F" w:rsidRPr="0006063C" w:rsidSect="00034616">
      <w:pgSz w:w="12240" w:h="15840"/>
      <w:pgMar w:top="144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